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12045</w:t>
      </w:r>
    </w:p>
    <w:p>
      <w:pPr>
        <w:tabs>
          <w:tab w:val="left" w:pos="1985"/>
        </w:tabs>
        <w:spacing w:after="180"/>
        <w:ind w:left="1980" w:hanging="1980"/>
        <w:rPr>
          <w:rFonts w:hint="eastAsia" w:ascii="Arial" w:hAnsi="Arial" w:cs="Arial"/>
          <w:b/>
          <w:sz w:val="24"/>
          <w:szCs w:val="24"/>
          <w:highlight w:val="yellow"/>
        </w:rPr>
      </w:pPr>
      <w:r>
        <w:rPr>
          <w:rFonts w:hint="eastAsia" w:ascii="Arial" w:hAnsi="Arial" w:cs="Arial"/>
          <w:b/>
          <w:sz w:val="24"/>
          <w:szCs w:val="24"/>
          <w:highlight w:val="none"/>
        </w:rPr>
        <w:t>Toulouse, France, August 21 – August 25,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9.5.3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UE</w:t>
      </w:r>
      <w:r>
        <w:rPr>
          <w:rFonts w:hint="eastAsia" w:ascii="Arial" w:hAnsi="Arial" w:eastAsia="宋体" w:cs="Arial"/>
          <w:b/>
          <w:sz w:val="24"/>
          <w:szCs w:val="24"/>
          <w:highlight w:val="none"/>
          <w:lang w:val="en-US" w:eastAsia="zh-CN"/>
        </w:rPr>
        <w:t xml:space="preserve"> RF requirements for FDD band (L+S band) for IoT NTN operation</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cs="Times New Roman"/>
          <w:sz w:val="20"/>
          <w:szCs w:val="20"/>
          <w:highlight w:val="none"/>
          <w:lang w:val="en-US" w:eastAsia="zh-CN"/>
        </w:rPr>
        <w:t>1</w:t>
      </w:r>
      <w:r>
        <w:rPr>
          <w:rFonts w:hint="eastAsia" w:cs="Times New Roman"/>
          <w:kern w:val="2"/>
          <w:sz w:val="21"/>
          <w:szCs w:val="22"/>
          <w:highlight w:val="none"/>
          <w:lang w:val="en-US" w:eastAsia="zh-CN" w:bidi="ar-SA"/>
        </w:rPr>
        <w:t>] on FDD band (L+S band) for IoT NTN operation was approved. Part of the objective is as follows:</w:t>
      </w:r>
    </w:p>
    <w:p>
      <w:pPr>
        <w:pStyle w:val="35"/>
        <w:numPr>
          <w:ilvl w:val="0"/>
          <w:numId w:val="2"/>
        </w:numPr>
        <w:spacing w:before="120" w:after="0" w:line="240" w:lineRule="auto"/>
        <w:ind w:left="220" w:leftChars="0" w:firstLine="420" w:firstLineChars="200"/>
        <w:rPr>
          <w:rFonts w:cstheme="minorHAnsi"/>
          <w:szCs w:val="28"/>
          <w:lang w:val="en-US"/>
        </w:rPr>
      </w:pPr>
      <w:r>
        <w:rPr>
          <w:rFonts w:cstheme="minorHAnsi"/>
          <w:szCs w:val="24"/>
          <w:lang w:val="en-US"/>
        </w:rPr>
        <w:t>Specify the following new FDD frequency bands for NB-IoT/eMTC NTN operation:</w:t>
      </w:r>
    </w:p>
    <w:p>
      <w:pPr>
        <w:pStyle w:val="35"/>
        <w:numPr>
          <w:ilvl w:val="1"/>
          <w:numId w:val="2"/>
        </w:numPr>
        <w:spacing w:before="120" w:after="0" w:line="240" w:lineRule="auto"/>
        <w:ind w:left="840" w:leftChars="0" w:firstLine="420" w:firstLineChars="200"/>
        <w:rPr>
          <w:rFonts w:cstheme="minorHAnsi"/>
          <w:lang w:val="en-US"/>
        </w:rPr>
      </w:pPr>
      <w:r>
        <w:rPr>
          <w:rFonts w:cstheme="minorHAnsi"/>
          <w:szCs w:val="24"/>
          <w:lang w:val="en-US"/>
        </w:rPr>
        <w:t>1610 – 1626.5 MHz in UL, and 2483.5 – 2500 MHz in DL</w:t>
      </w:r>
    </w:p>
    <w:p>
      <w:pPr>
        <w:pStyle w:val="35"/>
        <w:numPr>
          <w:ilvl w:val="0"/>
          <w:numId w:val="2"/>
        </w:numPr>
        <w:spacing w:before="120" w:after="0" w:line="240" w:lineRule="auto"/>
        <w:ind w:left="220" w:leftChars="0" w:firstLine="420" w:firstLineChars="200"/>
        <w:rPr>
          <w:rFonts w:cstheme="minorHAnsi"/>
          <w:szCs w:val="24"/>
          <w:lang w:val="en-US"/>
        </w:rPr>
      </w:pPr>
      <w:r>
        <w:rPr>
          <w:rFonts w:cstheme="minorHAnsi"/>
          <w:szCs w:val="24"/>
          <w:lang w:val="en-US"/>
        </w:rPr>
        <w:t>Support UE power class 3 (+23dBm) and power class 5 (+20dBm)</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UE</w:t>
      </w:r>
      <w:r>
        <w:rPr>
          <w:rFonts w:hint="eastAsia"/>
          <w:lang w:val="en-US"/>
        </w:rPr>
        <w:t xml:space="preserve"> RF requi</w:t>
      </w:r>
      <w:bookmarkStart w:id="6" w:name="_GoBack"/>
      <w:bookmarkEnd w:id="6"/>
      <w:r>
        <w:rPr>
          <w:rFonts w:hint="eastAsia"/>
          <w:lang w:val="en-US"/>
        </w:rPr>
        <w:t>rements</w:t>
      </w:r>
      <w:r>
        <w:rPr>
          <w:rFonts w:hint="eastAsia"/>
          <w:lang w:val="en-US" w:eastAsia="zh-CN"/>
        </w:rPr>
        <w:t xml:space="preserve"> for FDD band (L+S band) for IoT NTN operation</w:t>
      </w:r>
      <w:r>
        <w:rPr>
          <w:rFonts w:hint="eastAsia"/>
          <w:lang w:val="en-US"/>
        </w:rPr>
        <w:t xml:space="preserve">. </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20"/>
      <w:bookmarkStart w:id="3" w:name="OLE_LINK13"/>
      <w:bookmarkStart w:id="4" w:name="OLE_LINK14"/>
      <w:bookmarkStart w:id="5" w:name="OLE_LINK1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2.1 </w:t>
      </w:r>
      <w:r>
        <w:rPr>
          <w:rFonts w:hint="default" w:ascii="Arial" w:hAnsi="Arial" w:cs="Arial"/>
          <w:sz w:val="28"/>
          <w:szCs w:val="28"/>
          <w:lang w:val="en-US" w:eastAsia="zh-CN"/>
        </w:rPr>
        <w:t>Reference sensitivity power level</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default"/>
          <w:lang w:val="en-US" w:eastAsia="zh-CN"/>
        </w:rPr>
        <w:t>The new FDD frequency band</w:t>
      </w:r>
      <w:r>
        <w:rPr>
          <w:rFonts w:hint="eastAsia"/>
          <w:lang w:val="en-US" w:eastAsia="zh-CN"/>
        </w:rPr>
        <w:t xml:space="preserve"> and band 53 have almost the same frequency range and the reference sensitivity level of band 53 for channel bandwidth 1.4MHz is -106.2 dBm. The relaxation due to single RX is agreed in [2] which is 2.5 dB for single Rx and 1.8 dB for single Rx+HD. Considering the TX-RX frequency separation of band 254 is large and new RF filter can be used for band 254, we slightly prefer that additional 0.5 dB insertion loss is not considered. Therefore, the reference sensitivity level of the FDD frequency band can be specified as -106.2 dBm + 2.5 dB = -103.7dBm.</w:t>
      </w:r>
    </w:p>
    <w:p>
      <w:pPr>
        <w:pStyle w:val="46"/>
        <w:rPr>
          <w:rFonts w:hint="eastAsia" w:eastAsia="宋体"/>
          <w:lang w:val="en-US" w:eastAsia="zh-CN"/>
        </w:rPr>
      </w:pPr>
      <w:r>
        <w:t xml:space="preserve">Table </w:t>
      </w:r>
      <w:r>
        <w:rPr>
          <w:rFonts w:hint="eastAsia"/>
          <w:lang w:val="en-US" w:eastAsia="zh-CN"/>
        </w:rPr>
        <w:t>2.1</w:t>
      </w:r>
      <w:r>
        <w:t>-1: Reference sensitivity for FDD UE category M1 QPSK P</w:t>
      </w:r>
      <w:r>
        <w:rPr>
          <w:vertAlign w:val="subscript"/>
        </w:rPr>
        <w:t>REFSENS</w:t>
      </w:r>
      <w:r>
        <w:rPr>
          <w:rFonts w:hint="eastAsia" w:eastAsia="宋体"/>
          <w:vertAlign w:val="subscript"/>
          <w:lang w:val="en-US" w:eastAsia="zh-CN"/>
        </w:rPr>
        <w:t xml:space="preserve"> </w:t>
      </w:r>
    </w:p>
    <w:tbl>
      <w:tblPr>
        <w:tblStyle w:val="25"/>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6"/>
              <w:rPr>
                <w:rFonts w:eastAsia="MS Mincho"/>
              </w:rPr>
            </w:pPr>
            <w:r>
              <w:t>NTN Band</w:t>
            </w:r>
          </w:p>
        </w:tc>
        <w:tc>
          <w:tcPr>
            <w:tcW w:w="3827" w:type="dxa"/>
            <w:shd w:val="clear" w:color="auto" w:fill="auto"/>
            <w:vAlign w:val="center"/>
          </w:tcPr>
          <w:p>
            <w:pPr>
              <w:pStyle w:val="36"/>
              <w:rPr>
                <w:rFonts w:eastAsia="MS Mincho"/>
              </w:rPr>
            </w:pPr>
            <w:r>
              <w:t>REFSENS (dBm)</w:t>
            </w:r>
          </w:p>
        </w:tc>
        <w:tc>
          <w:tcPr>
            <w:tcW w:w="2835" w:type="dxa"/>
            <w:shd w:val="clear" w:color="auto" w:fill="auto"/>
            <w:vAlign w:val="center"/>
          </w:tcPr>
          <w:p>
            <w:pPr>
              <w:pStyle w:val="36"/>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37"/>
              <w:rPr>
                <w:rFonts w:hint="default" w:eastAsia="宋体"/>
                <w:lang w:val="en-US" w:eastAsia="zh-CN"/>
              </w:rPr>
            </w:pPr>
            <w:r>
              <w:rPr>
                <w:rFonts w:hint="eastAsia" w:eastAsia="宋体"/>
                <w:lang w:val="en-US" w:eastAsia="zh-CN"/>
              </w:rPr>
              <w:t>254</w:t>
            </w:r>
          </w:p>
        </w:tc>
        <w:tc>
          <w:tcPr>
            <w:tcW w:w="3827" w:type="dxa"/>
            <w:shd w:val="clear" w:color="auto" w:fill="auto"/>
            <w:vAlign w:val="center"/>
          </w:tcPr>
          <w:p>
            <w:pPr>
              <w:pStyle w:val="37"/>
              <w:rPr>
                <w:rFonts w:hint="default" w:eastAsia="宋体"/>
                <w:lang w:val="en-US" w:eastAsia="zh-CN"/>
              </w:rPr>
            </w:pPr>
            <w:r>
              <w:rPr>
                <w:rFonts w:hint="eastAsia" w:eastAsia="宋体"/>
                <w:lang w:val="en-US" w:eastAsia="zh-CN"/>
              </w:rPr>
              <w:t>-103.7</w:t>
            </w:r>
          </w:p>
        </w:tc>
        <w:tc>
          <w:tcPr>
            <w:tcW w:w="2835" w:type="dxa"/>
            <w:shd w:val="clear" w:color="auto" w:fill="auto"/>
            <w:vAlign w:val="center"/>
          </w:tcPr>
          <w:p>
            <w:pPr>
              <w:pStyle w:val="37"/>
              <w:rPr>
                <w:rFonts w:hint="default" w:eastAsia="宋体"/>
                <w:lang w:val="en-US" w:eastAsia="zh-CN"/>
              </w:rPr>
            </w:pPr>
            <w:r>
              <w:rPr>
                <w:rFonts w:hint="eastAsia" w:eastAsia="宋体"/>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49"/>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1: </w:t>
      </w:r>
      <w:r>
        <w:rPr>
          <w:rFonts w:hint="eastAsia"/>
          <w:b w:val="0"/>
          <w:bCs w:val="0"/>
          <w:i w:val="0"/>
          <w:iCs w:val="0"/>
          <w:lang w:val="en-US" w:eastAsia="zh-CN"/>
        </w:rPr>
        <w:t xml:space="preserve">For the new FDD frequency bands </w:t>
      </w:r>
      <w:r>
        <w:rPr>
          <w:rFonts w:hint="default"/>
          <w:b w:val="0"/>
          <w:bCs w:val="0"/>
          <w:i w:val="0"/>
          <w:iCs w:val="0"/>
          <w:lang w:val="en-US" w:eastAsia="zh-CN"/>
        </w:rPr>
        <w:t>for eMTC NTN operation</w:t>
      </w:r>
      <w:r>
        <w:rPr>
          <w:rFonts w:hint="eastAsia"/>
          <w:b w:val="0"/>
          <w:bCs w:val="0"/>
          <w:i w:val="0"/>
          <w:iCs w:val="0"/>
          <w:lang w:val="en-US" w:eastAsia="zh-CN"/>
        </w:rPr>
        <w:t>, t</w:t>
      </w:r>
      <w:r>
        <w:rPr>
          <w:rFonts w:hint="eastAsia"/>
          <w:lang w:val="en-US" w:eastAsia="zh-CN"/>
        </w:rPr>
        <w:t>he reference sensitivity level for eMTC NTN can be defined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val="0"/>
          <w:bCs w:val="0"/>
          <w:i w:val="0"/>
          <w:iCs w:val="0"/>
          <w:lang w:val="en-US" w:eastAsia="zh-CN"/>
        </w:rPr>
        <w:t xml:space="preserve">For the new FDD frequency bands </w:t>
      </w:r>
      <w:r>
        <w:rPr>
          <w:rFonts w:hint="default"/>
          <w:b w:val="0"/>
          <w:bCs w:val="0"/>
          <w:i w:val="0"/>
          <w:iCs w:val="0"/>
          <w:lang w:val="en-US" w:eastAsia="zh-CN"/>
        </w:rPr>
        <w:t>for NB-IoT</w:t>
      </w:r>
      <w:r>
        <w:rPr>
          <w:rFonts w:hint="eastAsia"/>
          <w:b w:val="0"/>
          <w:bCs w:val="0"/>
          <w:i w:val="0"/>
          <w:iCs w:val="0"/>
          <w:lang w:val="en-US" w:eastAsia="zh-CN"/>
        </w:rPr>
        <w:t xml:space="preserve"> </w:t>
      </w:r>
      <w:r>
        <w:rPr>
          <w:rFonts w:hint="default"/>
          <w:b w:val="0"/>
          <w:bCs w:val="0"/>
          <w:i w:val="0"/>
          <w:iCs w:val="0"/>
          <w:lang w:val="en-US" w:eastAsia="zh-CN"/>
        </w:rPr>
        <w:t>NTN operation</w:t>
      </w:r>
      <w:r>
        <w:rPr>
          <w:rFonts w:hint="eastAsia"/>
          <w:b w:val="0"/>
          <w:bCs w:val="0"/>
          <w:i w:val="0"/>
          <w:iCs w:val="0"/>
          <w:lang w:val="en-US" w:eastAsia="zh-CN"/>
        </w:rPr>
        <w:t>, t</w:t>
      </w:r>
      <w:r>
        <w:rPr>
          <w:rFonts w:hint="eastAsia"/>
          <w:lang w:val="en-US" w:eastAsia="zh-CN"/>
        </w:rPr>
        <w:t>he reference sensitivity level for NB-IoT can be defined as Table 2.1-2.</w:t>
      </w:r>
    </w:p>
    <w:p>
      <w:pPr>
        <w:pStyle w:val="46"/>
      </w:pPr>
      <w:r>
        <w:t xml:space="preserve">Table </w:t>
      </w:r>
      <w:r>
        <w:rPr>
          <w:rFonts w:hint="eastAsia"/>
          <w:lang w:val="en-US" w:eastAsia="zh-CN"/>
        </w:rPr>
        <w:t>2.1-2</w:t>
      </w:r>
      <w:r>
        <w:t>: Reference sensitivity for UE category NB1 and NB2</w:t>
      </w:r>
    </w:p>
    <w:tbl>
      <w:tblPr>
        <w:tblStyle w:val="25"/>
        <w:tblW w:w="5201" w:type="dxa"/>
        <w:jc w:val="center"/>
        <w:tblLayout w:type="autofit"/>
        <w:tblCellMar>
          <w:top w:w="0" w:type="dxa"/>
          <w:left w:w="108" w:type="dxa"/>
          <w:bottom w:w="0" w:type="dxa"/>
          <w:right w:w="108" w:type="dxa"/>
        </w:tblCellMar>
      </w:tblPr>
      <w:tblGrid>
        <w:gridCol w:w="3621"/>
        <w:gridCol w:w="1580"/>
      </w:tblGrid>
      <w:tr>
        <w:tblPrEx>
          <w:tblCellMar>
            <w:top w:w="0" w:type="dxa"/>
            <w:left w:w="108" w:type="dxa"/>
            <w:bottom w:w="0" w:type="dxa"/>
            <w:right w:w="108" w:type="dxa"/>
          </w:tblCellMar>
        </w:tblPrEx>
        <w:trPr>
          <w:trHeight w:val="288" w:hRule="atLeast"/>
          <w:jc w:val="center"/>
        </w:trPr>
        <w:tc>
          <w:tcPr>
            <w:tcW w:w="3621"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6"/>
              <w:rPr>
                <w:rFonts w:cs="Arial"/>
                <w:lang w:val="en-US" w:eastAsia="ja-JP"/>
              </w:rPr>
            </w:pPr>
            <w:r>
              <w:rPr>
                <w:rFonts w:cs="Arial"/>
                <w:lang w:val="en-US" w:eastAsia="ja-JP"/>
              </w:rP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pPr>
              <w:pStyle w:val="36"/>
              <w:rPr>
                <w:rFonts w:cs="Arial"/>
                <w:lang w:val="en-US" w:eastAsia="ja-JP"/>
              </w:rPr>
            </w:pPr>
            <w:r>
              <w:rPr>
                <w:rFonts w:cs="Arial"/>
                <w:lang w:val="en-US" w:eastAsia="ja-JP"/>
              </w:rPr>
              <w:t>REFSENS [dBm]</w:t>
            </w:r>
          </w:p>
        </w:tc>
      </w:tr>
      <w:tr>
        <w:tblPrEx>
          <w:tblCellMar>
            <w:top w:w="0" w:type="dxa"/>
            <w:left w:w="108" w:type="dxa"/>
            <w:bottom w:w="0" w:type="dxa"/>
            <w:right w:w="108" w:type="dxa"/>
          </w:tblCellMar>
        </w:tblPrEx>
        <w:trPr>
          <w:trHeight w:val="600" w:hRule="atLeast"/>
          <w:jc w:val="center"/>
        </w:trPr>
        <w:tc>
          <w:tcPr>
            <w:tcW w:w="3621" w:type="dxa"/>
            <w:tcBorders>
              <w:top w:val="nil"/>
              <w:left w:val="single" w:color="auto" w:sz="4" w:space="0"/>
              <w:bottom w:val="single" w:color="auto" w:sz="4" w:space="0"/>
              <w:right w:val="single" w:color="auto" w:sz="4" w:space="0"/>
            </w:tcBorders>
            <w:shd w:val="clear" w:color="auto" w:fill="auto"/>
            <w:vAlign w:val="center"/>
          </w:tcPr>
          <w:p>
            <w:pPr>
              <w:pStyle w:val="37"/>
              <w:rPr>
                <w:rFonts w:hint="default" w:eastAsia="宋体" w:cs="Arial"/>
                <w:lang w:val="en-US" w:eastAsia="zh-CN"/>
              </w:rPr>
            </w:pPr>
            <w:r>
              <w:rPr>
                <w:rFonts w:eastAsia="Courier New" w:cs="Arial"/>
                <w:lang w:eastAsia="ja-JP"/>
              </w:rPr>
              <w:t>According to subclause 5.2B</w:t>
            </w:r>
            <w:r>
              <w:rPr>
                <w:rFonts w:hint="eastAsia" w:eastAsia="宋体" w:cs="Arial"/>
                <w:lang w:val="en-US" w:eastAsia="zh-CN"/>
              </w:rPr>
              <w:t xml:space="preserve"> in TS 36.102</w:t>
            </w:r>
          </w:p>
        </w:tc>
        <w:tc>
          <w:tcPr>
            <w:tcW w:w="1580" w:type="dxa"/>
            <w:tcBorders>
              <w:top w:val="nil"/>
              <w:left w:val="nil"/>
              <w:bottom w:val="single" w:color="auto" w:sz="4" w:space="0"/>
              <w:right w:val="single" w:color="auto" w:sz="4" w:space="0"/>
            </w:tcBorders>
            <w:shd w:val="clear" w:color="auto" w:fill="auto"/>
            <w:noWrap/>
            <w:vAlign w:val="center"/>
          </w:tcPr>
          <w:p>
            <w:pPr>
              <w:pStyle w:val="37"/>
              <w:rPr>
                <w:rFonts w:cs="Arial"/>
                <w:lang w:val="en-US" w:eastAsia="ja-JP"/>
              </w:rPr>
            </w:pPr>
            <w:r>
              <w:rPr>
                <w:rFonts w:cs="Arial"/>
                <w:lang w:val="en-US" w:eastAsia="ja-JP"/>
              </w:rPr>
              <w:t>- 108.2</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b w:val="0"/>
          <w:bCs w:val="0"/>
          <w:i w:val="0"/>
          <w:iCs w:val="0"/>
          <w:lang w:val="en-US" w:eastAsia="zh-CN"/>
        </w:rPr>
        <w:t xml:space="preserve">For the new FDD frequency bands </w:t>
      </w:r>
      <w:r>
        <w:rPr>
          <w:rFonts w:hint="default"/>
          <w:b w:val="0"/>
          <w:bCs w:val="0"/>
          <w:i w:val="0"/>
          <w:iCs w:val="0"/>
          <w:lang w:val="en-US" w:eastAsia="zh-CN"/>
        </w:rPr>
        <w:t>for NB-IoT</w:t>
      </w:r>
      <w:r>
        <w:rPr>
          <w:rFonts w:hint="eastAsia"/>
          <w:b w:val="0"/>
          <w:bCs w:val="0"/>
          <w:i w:val="0"/>
          <w:iCs w:val="0"/>
          <w:lang w:val="en-US" w:eastAsia="zh-CN"/>
        </w:rPr>
        <w:t xml:space="preserve"> </w:t>
      </w:r>
      <w:r>
        <w:rPr>
          <w:rFonts w:hint="default"/>
          <w:b w:val="0"/>
          <w:bCs w:val="0"/>
          <w:i w:val="0"/>
          <w:iCs w:val="0"/>
          <w:lang w:val="en-US" w:eastAsia="zh-CN"/>
        </w:rPr>
        <w:t>NTN operation</w:t>
      </w:r>
      <w:r>
        <w:rPr>
          <w:rFonts w:hint="eastAsia"/>
          <w:b w:val="0"/>
          <w:bCs w:val="0"/>
          <w:i w:val="0"/>
          <w:iCs w:val="0"/>
          <w:lang w:val="en-US" w:eastAsia="zh-CN"/>
        </w:rPr>
        <w:t>, t</w:t>
      </w:r>
      <w:r>
        <w:rPr>
          <w:rFonts w:hint="eastAsia"/>
          <w:lang w:val="en-US" w:eastAsia="zh-CN"/>
        </w:rPr>
        <w:t>he reference sensitivity level for NB-IoT can be defined as Table 2.1-2.</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Out-of-band blocking</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default"/>
          <w:b w:val="0"/>
          <w:bCs w:val="0"/>
          <w:i w:val="0"/>
          <w:iCs w:val="0"/>
          <w:lang w:val="en-US" w:eastAsia="zh-CN"/>
        </w:rPr>
        <w:t>For out-of-band blocking requirements of 254, the general requirements for NR bands with F</w:t>
      </w:r>
      <w:r>
        <w:rPr>
          <w:rFonts w:hint="default"/>
          <w:b w:val="0"/>
          <w:bCs w:val="0"/>
          <w:i w:val="0"/>
          <w:iCs w:val="0"/>
          <w:vertAlign w:val="subscript"/>
          <w:lang w:val="en-US" w:eastAsia="zh-CN"/>
        </w:rPr>
        <w:t>DL_high</w:t>
      </w:r>
      <w:r>
        <w:rPr>
          <w:rFonts w:hint="default"/>
          <w:b w:val="0"/>
          <w:bCs w:val="0"/>
          <w:i w:val="0"/>
          <w:iCs w:val="0"/>
          <w:lang w:val="en-US" w:eastAsia="zh-CN"/>
        </w:rPr>
        <w:t xml:space="preserve"> &lt; 2700 MHz and F</w:t>
      </w:r>
      <w:r>
        <w:rPr>
          <w:rFonts w:hint="default"/>
          <w:b w:val="0"/>
          <w:bCs w:val="0"/>
          <w:i w:val="0"/>
          <w:iCs w:val="0"/>
          <w:vertAlign w:val="subscript"/>
          <w:lang w:val="en-US" w:eastAsia="zh-CN"/>
        </w:rPr>
        <w:t>UL_high</w:t>
      </w:r>
      <w:r>
        <w:rPr>
          <w:rFonts w:hint="default"/>
          <w:b w:val="0"/>
          <w:bCs w:val="0"/>
          <w:i w:val="0"/>
          <w:iCs w:val="0"/>
          <w:lang w:val="en-US" w:eastAsia="zh-CN"/>
        </w:rPr>
        <w:t xml:space="preserve"> &lt; 2700 MHz can be reused. Out-of-band blocking requirements for band n53 and band 255 also used this general requirements. Therefore, for band 254, the out-of-band blocking requirements </w:t>
      </w:r>
      <w:r>
        <w:rPr>
          <w:rFonts w:hint="eastAsia"/>
          <w:b w:val="0"/>
          <w:bCs w:val="0"/>
          <w:i w:val="0"/>
          <w:iCs w:val="0"/>
          <w:lang w:val="en-US" w:eastAsia="zh-CN"/>
        </w:rPr>
        <w:t>for category M1 and category NB1 and NB2 can be specified in Table 2.2-1 and 2.2-2, respectively.</w:t>
      </w:r>
    </w:p>
    <w:p>
      <w:pPr>
        <w:pStyle w:val="46"/>
      </w:pPr>
      <w:r>
        <w:t xml:space="preserve">Table </w:t>
      </w:r>
      <w:r>
        <w:rPr>
          <w:rFonts w:hint="eastAsia"/>
          <w:lang w:val="en-US" w:eastAsia="zh-CN"/>
        </w:rPr>
        <w:t>2.2-1</w:t>
      </w:r>
      <w:r>
        <w:t>: Out of-band blocking for category M1 UE</w:t>
      </w:r>
    </w:p>
    <w:tbl>
      <w:tblPr>
        <w:tblStyle w:val="25"/>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6"/>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36"/>
            </w:pPr>
            <w:r>
              <w:t>Parameter</w:t>
            </w:r>
          </w:p>
        </w:tc>
        <w:tc>
          <w:tcPr>
            <w:tcW w:w="799" w:type="dxa"/>
            <w:tcBorders>
              <w:top w:val="single" w:color="auto" w:sz="4" w:space="0"/>
              <w:left w:val="single" w:color="auto" w:sz="4" w:space="0"/>
              <w:bottom w:val="single" w:color="auto" w:sz="4" w:space="0"/>
              <w:right w:val="single" w:color="auto" w:sz="4" w:space="0"/>
            </w:tcBorders>
          </w:tcPr>
          <w:p>
            <w:pPr>
              <w:pStyle w:val="36"/>
            </w:pPr>
            <w:r>
              <w:t>Unit</w:t>
            </w:r>
          </w:p>
        </w:tc>
        <w:tc>
          <w:tcPr>
            <w:tcW w:w="1939" w:type="dxa"/>
            <w:tcBorders>
              <w:top w:val="single" w:color="auto" w:sz="4" w:space="0"/>
              <w:left w:val="single" w:color="auto" w:sz="4" w:space="0"/>
              <w:bottom w:val="single" w:color="auto" w:sz="4" w:space="0"/>
              <w:right w:val="single" w:color="auto" w:sz="4" w:space="0"/>
            </w:tcBorders>
          </w:tcPr>
          <w:p>
            <w:pPr>
              <w:pStyle w:val="36"/>
            </w:pPr>
            <w:r>
              <w:t>Range 1</w:t>
            </w:r>
          </w:p>
        </w:tc>
        <w:tc>
          <w:tcPr>
            <w:tcW w:w="1939" w:type="dxa"/>
            <w:tcBorders>
              <w:top w:val="single" w:color="auto" w:sz="4" w:space="0"/>
              <w:left w:val="single" w:color="auto" w:sz="4" w:space="0"/>
              <w:bottom w:val="single" w:color="auto" w:sz="4" w:space="0"/>
              <w:right w:val="single" w:color="auto" w:sz="4" w:space="0"/>
            </w:tcBorders>
          </w:tcPr>
          <w:p>
            <w:pPr>
              <w:pStyle w:val="36"/>
            </w:pPr>
            <w:r>
              <w:t>Range 2</w:t>
            </w:r>
          </w:p>
        </w:tc>
        <w:tc>
          <w:tcPr>
            <w:tcW w:w="1939" w:type="dxa"/>
            <w:tcBorders>
              <w:top w:val="single" w:color="auto" w:sz="4" w:space="0"/>
              <w:left w:val="single" w:color="auto" w:sz="4" w:space="0"/>
              <w:bottom w:val="single" w:color="auto" w:sz="4" w:space="0"/>
              <w:right w:val="single" w:color="auto" w:sz="4" w:space="0"/>
            </w:tcBorders>
          </w:tcPr>
          <w:p>
            <w:pPr>
              <w:pStyle w:val="36"/>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7"/>
            </w:pPr>
          </w:p>
        </w:tc>
        <w:tc>
          <w:tcPr>
            <w:tcW w:w="1488"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37"/>
            </w:pPr>
            <w:r>
              <w:t>-44</w:t>
            </w:r>
          </w:p>
        </w:tc>
        <w:tc>
          <w:tcPr>
            <w:tcW w:w="1939" w:type="dxa"/>
            <w:tcBorders>
              <w:top w:val="single" w:color="auto" w:sz="4" w:space="0"/>
              <w:left w:val="single" w:color="auto" w:sz="4" w:space="0"/>
              <w:bottom w:val="single" w:color="auto" w:sz="4" w:space="0"/>
              <w:right w:val="single" w:color="auto" w:sz="4" w:space="0"/>
            </w:tcBorders>
          </w:tcPr>
          <w:p>
            <w:pPr>
              <w:pStyle w:val="37"/>
            </w:pPr>
            <w:r>
              <w:t>-30</w:t>
            </w:r>
          </w:p>
        </w:tc>
        <w:tc>
          <w:tcPr>
            <w:tcW w:w="1939" w:type="dxa"/>
            <w:tcBorders>
              <w:top w:val="single" w:color="auto" w:sz="4" w:space="0"/>
              <w:left w:val="single" w:color="auto" w:sz="4" w:space="0"/>
              <w:bottom w:val="single" w:color="auto" w:sz="4" w:space="0"/>
              <w:right w:val="single" w:color="auto" w:sz="4" w:space="0"/>
            </w:tcBorders>
          </w:tcPr>
          <w:p>
            <w:pPr>
              <w:pStyle w:val="3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7"/>
              <w:rPr>
                <w:rFonts w:hint="default" w:eastAsia="宋体"/>
                <w:lang w:val="en-US" w:eastAsia="zh-CN"/>
              </w:rPr>
            </w:pPr>
            <w:r>
              <w:rPr>
                <w:rFonts w:hint="eastAsia" w:eastAsia="宋体"/>
                <w:lang w:val="en-US" w:eastAsia="zh-CN"/>
              </w:rPr>
              <w:t>254</w:t>
            </w:r>
          </w:p>
        </w:tc>
        <w:tc>
          <w:tcPr>
            <w:tcW w:w="1488" w:type="dxa"/>
            <w:tcBorders>
              <w:top w:val="single" w:color="auto" w:sz="4" w:space="0"/>
              <w:left w:val="single" w:color="auto" w:sz="4" w:space="0"/>
              <w:bottom w:val="single" w:color="auto" w:sz="4" w:space="0"/>
              <w:right w:val="single" w:color="auto" w:sz="4" w:space="0"/>
            </w:tcBorders>
            <w:vAlign w:val="top"/>
          </w:tcPr>
          <w:p>
            <w:pPr>
              <w:pStyle w:val="37"/>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37"/>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37"/>
              <w:rPr>
                <w:rFonts w:cs="Arial"/>
              </w:rPr>
            </w:pPr>
            <w:r>
              <w:rPr>
                <w:rFonts w:cs="Arial"/>
              </w:rPr>
              <w:t>-60 &lt; f – F</w:t>
            </w:r>
            <w:r>
              <w:rPr>
                <w:rFonts w:cs="Arial"/>
                <w:vertAlign w:val="subscript"/>
              </w:rPr>
              <w:t>DL_low</w:t>
            </w:r>
            <w:r>
              <w:rPr>
                <w:rFonts w:cs="Arial"/>
              </w:rPr>
              <w:t xml:space="preserve"> &lt; -15</w:t>
            </w:r>
          </w:p>
          <w:p>
            <w:pPr>
              <w:pStyle w:val="37"/>
              <w:rPr>
                <w:rFonts w:cs="Arial"/>
              </w:rPr>
            </w:pPr>
            <w:r>
              <w:rPr>
                <w:rFonts w:cs="Arial"/>
              </w:rPr>
              <w:t>or</w:t>
            </w:r>
          </w:p>
          <w:p>
            <w:pPr>
              <w:pStyle w:val="37"/>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37"/>
              <w:rPr>
                <w:rFonts w:cs="Arial"/>
              </w:rPr>
            </w:pPr>
            <w:r>
              <w:rPr>
                <w:rFonts w:cs="Arial"/>
              </w:rPr>
              <w:t>-85 &lt; f – F</w:t>
            </w:r>
            <w:r>
              <w:rPr>
                <w:rFonts w:cs="Arial"/>
                <w:vertAlign w:val="subscript"/>
              </w:rPr>
              <w:t>DL_low</w:t>
            </w:r>
            <w:r>
              <w:rPr>
                <w:rFonts w:cs="Arial"/>
              </w:rPr>
              <w:t xml:space="preserve"> ≤ -60</w:t>
            </w:r>
          </w:p>
          <w:p>
            <w:pPr>
              <w:pStyle w:val="37"/>
              <w:rPr>
                <w:rFonts w:cs="Arial"/>
              </w:rPr>
            </w:pPr>
            <w:r>
              <w:rPr>
                <w:rFonts w:cs="Arial"/>
              </w:rPr>
              <w:t>or</w:t>
            </w:r>
          </w:p>
          <w:p>
            <w:pPr>
              <w:pStyle w:val="37"/>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37"/>
              <w:rPr>
                <w:rFonts w:cs="Arial"/>
              </w:rPr>
            </w:pPr>
            <w:r>
              <w:rPr>
                <w:rFonts w:cs="Arial"/>
              </w:rPr>
              <w:t>1 ≤ f ≤ F</w:t>
            </w:r>
            <w:r>
              <w:rPr>
                <w:rFonts w:cs="Arial"/>
                <w:vertAlign w:val="subscript"/>
              </w:rPr>
              <w:t>DL_low</w:t>
            </w:r>
            <w:r>
              <w:rPr>
                <w:rFonts w:cs="Arial"/>
              </w:rPr>
              <w:t xml:space="preserve"> – 85</w:t>
            </w:r>
          </w:p>
          <w:p>
            <w:pPr>
              <w:pStyle w:val="37"/>
              <w:rPr>
                <w:rFonts w:cs="Arial"/>
              </w:rPr>
            </w:pPr>
            <w:r>
              <w:rPr>
                <w:rFonts w:cs="Arial"/>
              </w:rPr>
              <w:t>or</w:t>
            </w:r>
          </w:p>
          <w:p>
            <w:pPr>
              <w:pStyle w:val="37"/>
              <w:rPr>
                <w:rFonts w:cs="Arial"/>
              </w:rPr>
            </w:pPr>
            <w:r>
              <w:rPr>
                <w:rFonts w:cs="Arial"/>
              </w:rPr>
              <w:t>F</w:t>
            </w:r>
            <w:r>
              <w:rPr>
                <w:rFonts w:cs="Arial"/>
                <w:vertAlign w:val="subscript"/>
              </w:rPr>
              <w:t>DL_high</w:t>
            </w:r>
            <w:r>
              <w:rPr>
                <w:rFonts w:cs="Arial"/>
              </w:rPr>
              <w:t xml:space="preserve"> + 85 ≤ f</w:t>
            </w:r>
          </w:p>
          <w:p>
            <w:pPr>
              <w:pStyle w:val="37"/>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49"/>
              <w:rPr>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pPr>
              <w:pStyle w:val="49"/>
              <w:rPr>
                <w:rFonts w:eastAsia="MS Mincho"/>
                <w:lang w:val="en-US"/>
              </w:rPr>
            </w:pPr>
            <w:r>
              <w:rPr>
                <w:rFonts w:hint="eastAsia" w:eastAsia="MS Mincho"/>
                <w:highlight w:val="none"/>
                <w:lang w:val="en-US"/>
              </w:rPr>
              <w:t>NOTE 2:</w:t>
            </w:r>
            <w:r>
              <w:rPr>
                <w:rFonts w:hint="eastAsia" w:eastAsia="MS Mincho"/>
                <w:highlight w:val="none"/>
                <w:lang w:val="en-US"/>
              </w:rPr>
              <w:tab/>
            </w:r>
            <w:r>
              <w:rPr>
                <w:rFonts w:hint="eastAsia" w:eastAsia="MS Mincho"/>
                <w:highlight w:val="none"/>
                <w:lang w:val="en-US"/>
              </w:rPr>
              <w:t>Band [254] power level of the interferer (Pinterferer) for Range 3 shall be modified to -20 dBm for Finterferer &gt; 2585 MHz and FInterferer &lt; 2775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p>
    <w:p>
      <w:pPr>
        <w:pStyle w:val="46"/>
      </w:pPr>
      <w:r>
        <w:t xml:space="preserve">Table </w:t>
      </w:r>
      <w:r>
        <w:rPr>
          <w:rFonts w:hint="eastAsia"/>
          <w:lang w:val="en-US" w:eastAsia="zh-CN"/>
        </w:rPr>
        <w:t>2.2-2</w:t>
      </w:r>
      <w:r>
        <w:t>: Out-of-band blocking parameters for category NB1 and NB2 UE</w:t>
      </w:r>
    </w:p>
    <w:tbl>
      <w:tblPr>
        <w:tblStyle w:val="25"/>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36"/>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36"/>
            </w:pPr>
            <w:r>
              <w:t>Parameter</w:t>
            </w:r>
          </w:p>
        </w:tc>
        <w:tc>
          <w:tcPr>
            <w:tcW w:w="799" w:type="dxa"/>
            <w:tcBorders>
              <w:top w:val="single" w:color="auto" w:sz="4" w:space="0"/>
              <w:left w:val="single" w:color="auto" w:sz="4" w:space="0"/>
              <w:bottom w:val="single" w:color="auto" w:sz="4" w:space="0"/>
              <w:right w:val="single" w:color="auto" w:sz="4" w:space="0"/>
            </w:tcBorders>
          </w:tcPr>
          <w:p>
            <w:pPr>
              <w:pStyle w:val="36"/>
            </w:pPr>
            <w:r>
              <w:t>Unit</w:t>
            </w:r>
          </w:p>
        </w:tc>
        <w:tc>
          <w:tcPr>
            <w:tcW w:w="1939" w:type="dxa"/>
            <w:tcBorders>
              <w:top w:val="single" w:color="auto" w:sz="4" w:space="0"/>
              <w:left w:val="single" w:color="auto" w:sz="4" w:space="0"/>
              <w:bottom w:val="single" w:color="auto" w:sz="4" w:space="0"/>
              <w:right w:val="single" w:color="auto" w:sz="4" w:space="0"/>
            </w:tcBorders>
          </w:tcPr>
          <w:p>
            <w:pPr>
              <w:pStyle w:val="36"/>
            </w:pPr>
            <w:r>
              <w:t>Range 1</w:t>
            </w:r>
          </w:p>
        </w:tc>
        <w:tc>
          <w:tcPr>
            <w:tcW w:w="1939" w:type="dxa"/>
            <w:tcBorders>
              <w:top w:val="single" w:color="auto" w:sz="4" w:space="0"/>
              <w:left w:val="single" w:color="auto" w:sz="4" w:space="0"/>
              <w:bottom w:val="single" w:color="auto" w:sz="4" w:space="0"/>
              <w:right w:val="single" w:color="auto" w:sz="4" w:space="0"/>
            </w:tcBorders>
          </w:tcPr>
          <w:p>
            <w:pPr>
              <w:pStyle w:val="36"/>
            </w:pPr>
            <w:r>
              <w:t>Range 2</w:t>
            </w:r>
          </w:p>
        </w:tc>
        <w:tc>
          <w:tcPr>
            <w:tcW w:w="1939" w:type="dxa"/>
            <w:tcBorders>
              <w:top w:val="single" w:color="auto" w:sz="4" w:space="0"/>
              <w:left w:val="single" w:color="auto" w:sz="4" w:space="0"/>
              <w:bottom w:val="single" w:color="auto" w:sz="4" w:space="0"/>
              <w:right w:val="single" w:color="auto" w:sz="4" w:space="0"/>
            </w:tcBorders>
          </w:tcPr>
          <w:p>
            <w:pPr>
              <w:pStyle w:val="36"/>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36"/>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37"/>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37"/>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36"/>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37"/>
            </w:pPr>
            <w:r>
              <w:t>-44</w:t>
            </w:r>
          </w:p>
        </w:tc>
        <w:tc>
          <w:tcPr>
            <w:tcW w:w="1939" w:type="dxa"/>
            <w:tcBorders>
              <w:top w:val="single" w:color="auto" w:sz="4" w:space="0"/>
              <w:left w:val="single" w:color="auto" w:sz="4" w:space="0"/>
              <w:bottom w:val="single" w:color="auto" w:sz="4" w:space="0"/>
              <w:right w:val="single" w:color="auto" w:sz="4" w:space="0"/>
            </w:tcBorders>
          </w:tcPr>
          <w:p>
            <w:pPr>
              <w:pStyle w:val="37"/>
            </w:pPr>
            <w:r>
              <w:t>-30</w:t>
            </w:r>
          </w:p>
        </w:tc>
        <w:tc>
          <w:tcPr>
            <w:tcW w:w="1939" w:type="dxa"/>
            <w:tcBorders>
              <w:top w:val="single" w:color="auto" w:sz="4" w:space="0"/>
              <w:left w:val="single" w:color="auto" w:sz="4" w:space="0"/>
              <w:bottom w:val="single" w:color="auto" w:sz="4" w:space="0"/>
              <w:right w:val="single" w:color="auto" w:sz="4" w:space="0"/>
            </w:tcBorders>
          </w:tcPr>
          <w:p>
            <w:pPr>
              <w:pStyle w:val="37"/>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37"/>
              <w:rPr>
                <w:rFonts w:hint="eastAsia" w:eastAsia="宋体"/>
                <w:lang w:val="en-US" w:eastAsia="zh-CN"/>
              </w:rPr>
            </w:pPr>
            <w:r>
              <w:t>25</w:t>
            </w:r>
            <w:r>
              <w:rPr>
                <w:rFonts w:hint="eastAsia" w:eastAsia="宋体"/>
                <w:lang w:val="en-US" w:eastAsia="zh-CN"/>
              </w:rPr>
              <w:t>4</w:t>
            </w:r>
          </w:p>
        </w:tc>
        <w:tc>
          <w:tcPr>
            <w:tcW w:w="1488" w:type="dxa"/>
            <w:tcBorders>
              <w:top w:val="single" w:color="auto" w:sz="4" w:space="0"/>
              <w:left w:val="single" w:color="auto" w:sz="4" w:space="0"/>
              <w:bottom w:val="single" w:color="auto" w:sz="4" w:space="0"/>
              <w:right w:val="single" w:color="auto" w:sz="4" w:space="0"/>
            </w:tcBorders>
            <w:vAlign w:val="top"/>
          </w:tcPr>
          <w:p>
            <w:pPr>
              <w:pStyle w:val="37"/>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37"/>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37"/>
              <w:rPr>
                <w:rFonts w:cs="Arial"/>
              </w:rPr>
            </w:pPr>
            <w:r>
              <w:rPr>
                <w:rFonts w:cs="Arial"/>
              </w:rPr>
              <w:t>-60 &lt; f – F</w:t>
            </w:r>
            <w:r>
              <w:rPr>
                <w:rFonts w:cs="Arial"/>
                <w:vertAlign w:val="subscript"/>
              </w:rPr>
              <w:t>DL_low</w:t>
            </w:r>
            <w:r>
              <w:rPr>
                <w:rFonts w:cs="Arial"/>
              </w:rPr>
              <w:t xml:space="preserve"> &lt; -15</w:t>
            </w:r>
          </w:p>
          <w:p>
            <w:pPr>
              <w:pStyle w:val="37"/>
              <w:rPr>
                <w:rFonts w:cs="Arial"/>
              </w:rPr>
            </w:pPr>
            <w:r>
              <w:rPr>
                <w:rFonts w:cs="Arial"/>
              </w:rPr>
              <w:t>or</w:t>
            </w:r>
          </w:p>
          <w:p>
            <w:pPr>
              <w:pStyle w:val="37"/>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37"/>
              <w:rPr>
                <w:rFonts w:cs="Arial"/>
              </w:rPr>
            </w:pPr>
            <w:r>
              <w:rPr>
                <w:rFonts w:cs="Arial"/>
              </w:rPr>
              <w:t>-85 &lt; f – F</w:t>
            </w:r>
            <w:r>
              <w:rPr>
                <w:rFonts w:cs="Arial"/>
                <w:vertAlign w:val="subscript"/>
              </w:rPr>
              <w:t>DL_low</w:t>
            </w:r>
            <w:r>
              <w:rPr>
                <w:rFonts w:cs="Arial"/>
              </w:rPr>
              <w:t xml:space="preserve"> ≤ -60</w:t>
            </w:r>
          </w:p>
          <w:p>
            <w:pPr>
              <w:pStyle w:val="37"/>
              <w:rPr>
                <w:rFonts w:cs="Arial"/>
              </w:rPr>
            </w:pPr>
            <w:r>
              <w:rPr>
                <w:rFonts w:cs="Arial"/>
              </w:rPr>
              <w:t>or</w:t>
            </w:r>
          </w:p>
          <w:p>
            <w:pPr>
              <w:pStyle w:val="37"/>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37"/>
              <w:rPr>
                <w:rFonts w:cs="Arial"/>
              </w:rPr>
            </w:pPr>
            <w:r>
              <w:rPr>
                <w:rFonts w:cs="Arial"/>
              </w:rPr>
              <w:t>1 ≤ f ≤ F</w:t>
            </w:r>
            <w:r>
              <w:rPr>
                <w:rFonts w:cs="Arial"/>
                <w:vertAlign w:val="subscript"/>
              </w:rPr>
              <w:t>DL_low</w:t>
            </w:r>
            <w:r>
              <w:rPr>
                <w:rFonts w:cs="Arial"/>
              </w:rPr>
              <w:t xml:space="preserve"> – 85</w:t>
            </w:r>
          </w:p>
          <w:p>
            <w:pPr>
              <w:pStyle w:val="37"/>
              <w:rPr>
                <w:rFonts w:cs="Arial"/>
              </w:rPr>
            </w:pPr>
            <w:r>
              <w:rPr>
                <w:rFonts w:cs="Arial"/>
              </w:rPr>
              <w:t>or</w:t>
            </w:r>
          </w:p>
          <w:p>
            <w:pPr>
              <w:pStyle w:val="37"/>
              <w:rPr>
                <w:rFonts w:cs="Arial"/>
              </w:rPr>
            </w:pPr>
            <w:r>
              <w:rPr>
                <w:rFonts w:cs="Arial"/>
              </w:rPr>
              <w:t>F</w:t>
            </w:r>
            <w:r>
              <w:rPr>
                <w:rFonts w:cs="Arial"/>
                <w:vertAlign w:val="subscript"/>
              </w:rPr>
              <w:t>DL_high</w:t>
            </w:r>
            <w:r>
              <w:rPr>
                <w:rFonts w:cs="Arial"/>
              </w:rPr>
              <w:t xml:space="preserve"> + 85 ≤ f</w:t>
            </w:r>
          </w:p>
          <w:p>
            <w:pPr>
              <w:pStyle w:val="37"/>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49"/>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pPr>
              <w:pStyle w:val="49"/>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49"/>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49"/>
              <w:rPr>
                <w:rFonts w:cs="Arial"/>
                <w:lang w:val="en-US"/>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3:</w:t>
      </w:r>
      <w:r>
        <w:rPr>
          <w:rFonts w:hint="eastAsia"/>
          <w:b w:val="0"/>
          <w:bCs w:val="0"/>
          <w:i w:val="0"/>
          <w:iCs w:val="0"/>
          <w:lang w:val="en-US" w:eastAsia="zh-CN"/>
        </w:rPr>
        <w:t xml:space="preserve"> For the new FDD frequency bands for NB-IoT/eMTC NTN operation, the out-of-band blocking requirement for eMTC NTN can be defined as Table 2.2-1 and the out-of-band blocking requirement for NB-IoT can be defined as Table 2.2-2.</w:t>
      </w:r>
    </w:p>
    <w:bookmarkEnd w:id="2"/>
    <w:bookmarkEnd w:id="3"/>
    <w:bookmarkEnd w:id="4"/>
    <w:bookmarkEnd w:id="5"/>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1: </w:t>
      </w:r>
      <w:r>
        <w:rPr>
          <w:rFonts w:hint="eastAsia"/>
          <w:b w:val="0"/>
          <w:bCs w:val="0"/>
          <w:i w:val="0"/>
          <w:iCs w:val="0"/>
          <w:lang w:val="en-US" w:eastAsia="zh-CN"/>
        </w:rPr>
        <w:t xml:space="preserve">For the new FDD frequency bands </w:t>
      </w:r>
      <w:r>
        <w:rPr>
          <w:rFonts w:hint="default"/>
          <w:b w:val="0"/>
          <w:bCs w:val="0"/>
          <w:i w:val="0"/>
          <w:iCs w:val="0"/>
          <w:lang w:val="en-US" w:eastAsia="zh-CN"/>
        </w:rPr>
        <w:t>for eMTC NTN operation</w:t>
      </w:r>
      <w:r>
        <w:rPr>
          <w:rFonts w:hint="eastAsia"/>
          <w:b w:val="0"/>
          <w:bCs w:val="0"/>
          <w:i w:val="0"/>
          <w:iCs w:val="0"/>
          <w:lang w:val="en-US" w:eastAsia="zh-CN"/>
        </w:rPr>
        <w:t>, t</w:t>
      </w:r>
      <w:r>
        <w:rPr>
          <w:rFonts w:hint="eastAsia"/>
          <w:lang w:val="en-US" w:eastAsia="zh-CN"/>
        </w:rPr>
        <w:t>he reference sensitivity level for eMTC NTN can be defined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b w:val="0"/>
          <w:bCs w:val="0"/>
          <w:i w:val="0"/>
          <w:iCs w:val="0"/>
          <w:lang w:val="en-US" w:eastAsia="zh-CN"/>
        </w:rPr>
        <w:t xml:space="preserve">For the new FDD frequency bands </w:t>
      </w:r>
      <w:r>
        <w:rPr>
          <w:rFonts w:hint="default"/>
          <w:b w:val="0"/>
          <w:bCs w:val="0"/>
          <w:i w:val="0"/>
          <w:iCs w:val="0"/>
          <w:lang w:val="en-US" w:eastAsia="zh-CN"/>
        </w:rPr>
        <w:t>for NB-IoT</w:t>
      </w:r>
      <w:r>
        <w:rPr>
          <w:rFonts w:hint="eastAsia"/>
          <w:b w:val="0"/>
          <w:bCs w:val="0"/>
          <w:i w:val="0"/>
          <w:iCs w:val="0"/>
          <w:lang w:val="en-US" w:eastAsia="zh-CN"/>
        </w:rPr>
        <w:t xml:space="preserve"> </w:t>
      </w:r>
      <w:r>
        <w:rPr>
          <w:rFonts w:hint="default"/>
          <w:b w:val="0"/>
          <w:bCs w:val="0"/>
          <w:i w:val="0"/>
          <w:iCs w:val="0"/>
          <w:lang w:val="en-US" w:eastAsia="zh-CN"/>
        </w:rPr>
        <w:t>NTN operation</w:t>
      </w:r>
      <w:r>
        <w:rPr>
          <w:rFonts w:hint="eastAsia"/>
          <w:b w:val="0"/>
          <w:bCs w:val="0"/>
          <w:i w:val="0"/>
          <w:iCs w:val="0"/>
          <w:lang w:val="en-US" w:eastAsia="zh-CN"/>
        </w:rPr>
        <w:t>, t</w:t>
      </w:r>
      <w:r>
        <w:rPr>
          <w:rFonts w:hint="eastAsia"/>
          <w:lang w:val="en-US" w:eastAsia="zh-CN"/>
        </w:rPr>
        <w:t>he reference sensitivity level for NB-IoT can be defined as Table 2.1-2.</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3:</w:t>
      </w:r>
      <w:r>
        <w:rPr>
          <w:rFonts w:hint="eastAsia"/>
          <w:b w:val="0"/>
          <w:bCs w:val="0"/>
          <w:i w:val="0"/>
          <w:iCs w:val="0"/>
          <w:lang w:val="en-US" w:eastAsia="zh-CN"/>
        </w:rPr>
        <w:t xml:space="preserve"> For the new FDD frequency bands for NB-IoT/eMTC NTN operation, the out-of-band blocking requirement for eMTC NTN can be defined as Table 2.2-1 and the out-of-band blocking requirement for NB-IoT can be defined as Table 2.2-2.</w:t>
      </w:r>
    </w:p>
    <w:p>
      <w:pPr>
        <w:pStyle w:val="56"/>
        <w:tabs>
          <w:tab w:val="left" w:pos="567"/>
          <w:tab w:val="clear" w:pos="1985"/>
        </w:tabs>
        <w:adjustRightInd w:val="0"/>
        <w:ind w:left="510" w:hanging="510"/>
        <w:rPr>
          <w:highlight w:val="none"/>
        </w:rPr>
      </w:pPr>
      <w:r>
        <w:rPr>
          <w:highlight w:val="none"/>
        </w:rPr>
        <w:t>References</w:t>
      </w:r>
    </w:p>
    <w:p>
      <w:pPr>
        <w:pStyle w:val="54"/>
        <w:numPr>
          <w:ilvl w:val="0"/>
          <w:numId w:val="3"/>
        </w:numPr>
      </w:pPr>
      <w:r>
        <w:rPr>
          <w:rFonts w:hint="eastAsia" w:ascii="Times New Roman" w:hAnsi="Times New Roman" w:eastAsia="宋体" w:cs="Times New Roman"/>
          <w:sz w:val="20"/>
          <w:szCs w:val="20"/>
          <w:highlight w:val="none"/>
          <w:lang w:val="en-US" w:eastAsia="zh-CN"/>
        </w:rPr>
        <w:t>RP-230792</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FDD band (L+S band) for IoT NTN operation”, MediaTek Inc. Apple, Globalstar, Kepler Communications, Qualcomm, ZTE</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70108"/>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A718A"/>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41FEF"/>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AD03F7"/>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15A45"/>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9E0221"/>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234E4"/>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644D3"/>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37EF3"/>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5E3E07"/>
    <w:rsid w:val="456C4CA4"/>
    <w:rsid w:val="457736FF"/>
    <w:rsid w:val="45790DCE"/>
    <w:rsid w:val="457E31A2"/>
    <w:rsid w:val="45831711"/>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57311"/>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04427"/>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6588D"/>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5C0256"/>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2051C"/>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CFE170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C35EA7"/>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91E66"/>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4423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99"/>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78"/>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7"/>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8"/>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20"/>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9"/>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 w:type="paragraph" w:customStyle="1" w:styleId="96">
    <w:name w:val="TAR"/>
    <w:basedOn w:val="38"/>
    <w:qFormat/>
    <w:uiPriority w:val="0"/>
    <w:pPr>
      <w:jc w:val="right"/>
    </w:pPr>
  </w:style>
  <w:style w:type="paragraph" w:customStyle="1" w:styleId="97">
    <w:name w:val="B2"/>
    <w:basedOn w:val="16"/>
    <w:qFormat/>
    <w:uiPriority w:val="0"/>
    <w:pPr>
      <w:ind w:left="851"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2023-08-11T07:16:52Z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0551CC3BA22B4340AE6A225DA4985D2D</vt:lpwstr>
  </property>
</Properties>
</file>